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15" w:type="dxa"/>
          <w:right w:w="115" w:type="dxa"/>
        </w:tblCellMar>
        <w:tblLook w:val="04A0"/>
      </w:tblPr>
      <w:tblGrid>
        <w:gridCol w:w="848"/>
        <w:gridCol w:w="2729"/>
        <w:gridCol w:w="3690"/>
        <w:gridCol w:w="2700"/>
        <w:gridCol w:w="2311"/>
        <w:gridCol w:w="2160"/>
      </w:tblGrid>
      <w:tr w:rsidR="00DB5E85" w:rsidRPr="00C17A61" w:rsidTr="00117A6B">
        <w:trPr>
          <w:cantSplit/>
          <w:trHeight w:val="189"/>
          <w:tblHeader/>
          <w:jc w:val="center"/>
        </w:trPr>
        <w:tc>
          <w:tcPr>
            <w:tcW w:w="14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5E85" w:rsidRPr="00C17A61" w:rsidRDefault="00DB5E85" w:rsidP="00DB5E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ITU/ITSO WORKSHOP ON SATELLITE COMMUNICATIONS NAIROBI, KENYA, JULY 17-21, 2017Workshop Program</w:t>
            </w:r>
          </w:p>
        </w:tc>
      </w:tr>
      <w:tr w:rsidR="00DB5E85" w:rsidRPr="00C17A61" w:rsidTr="00C17A61">
        <w:trPr>
          <w:cantSplit/>
          <w:trHeight w:val="315"/>
          <w:tblHeader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vAlign w:val="center"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 1 ( July 17)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 2 (July 18)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00"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 3 (July 19)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 4 (July 20)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 5 ( July 21)</w:t>
            </w:r>
          </w:p>
        </w:tc>
      </w:tr>
      <w:tr w:rsidR="00DB5E85" w:rsidRPr="00C17A61" w:rsidTr="00C17A61">
        <w:trPr>
          <w:cantSplit/>
          <w:trHeight w:val="368"/>
          <w:tblHeader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08.30-09.00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Opening Session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B5E85" w:rsidRPr="00C17A61" w:rsidTr="00C17A61">
        <w:trPr>
          <w:cantSplit/>
          <w:trHeight w:val="755"/>
          <w:tblHeader/>
          <w:jc w:val="center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09.00-10.30</w:t>
            </w: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Basics of Satellite Communications</w:t>
            </w:r>
          </w:p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(ITSO)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Radio Regulations (Cont’d) </w:t>
            </w:r>
            <w:r w:rsidRPr="00C17A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(ITU)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Link Budget Analysis </w:t>
            </w:r>
            <w:r w:rsidRPr="00C17A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(Intelsat)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Radio Regulations (Cont’d) </w:t>
            </w:r>
          </w:p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(ITU)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Practical Exercises </w:t>
            </w:r>
          </w:p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(ITSO)</w:t>
            </w:r>
          </w:p>
        </w:tc>
      </w:tr>
      <w:tr w:rsidR="00DB5E85" w:rsidRPr="00C17A61" w:rsidTr="00C17A61">
        <w:trPr>
          <w:cantSplit/>
          <w:trHeight w:val="315"/>
          <w:tblHeader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E85" w:rsidRPr="00C17A61" w:rsidRDefault="00DB5E85" w:rsidP="00556A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Birth of Satellite</w:t>
            </w:r>
          </w:p>
          <w:p w:rsidR="00DB5E85" w:rsidRPr="00C17A61" w:rsidRDefault="00DB5E85" w:rsidP="00556A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Communication Links</w:t>
            </w:r>
          </w:p>
          <w:p w:rsidR="00DB5E85" w:rsidRPr="00C17A61" w:rsidRDefault="00DB5E85" w:rsidP="00556A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Satellite Orbits</w:t>
            </w:r>
          </w:p>
          <w:p w:rsidR="00DB5E85" w:rsidRPr="00C17A61" w:rsidRDefault="00DB5E85" w:rsidP="00556A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Orbital Positions and Radio Interference</w:t>
            </w:r>
          </w:p>
          <w:p w:rsidR="00DB5E85" w:rsidRPr="00C17A61" w:rsidRDefault="00DB5E85" w:rsidP="00556A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sz w:val="20"/>
                <w:szCs w:val="20"/>
              </w:rPr>
              <w:t>Satellite Lifecycle Management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30A6F" w:rsidRPr="00D30A6F" w:rsidRDefault="00D30A6F" w:rsidP="00D3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Receivability of Space Notices</w:t>
            </w:r>
          </w:p>
          <w:p w:rsidR="00D30A6F" w:rsidRDefault="00DB5E85" w:rsidP="00DC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0A6F">
              <w:rPr>
                <w:rFonts w:eastAsia="Times New Roman" w:cstheme="minorHAnsi"/>
                <w:color w:val="000000"/>
                <w:sz w:val="20"/>
                <w:szCs w:val="20"/>
              </w:rPr>
              <w:t>B</w:t>
            </w:r>
            <w:r w:rsidR="00D30A6F">
              <w:rPr>
                <w:rFonts w:eastAsia="Times New Roman" w:cstheme="minorHAnsi"/>
                <w:color w:val="000000"/>
                <w:sz w:val="20"/>
                <w:szCs w:val="20"/>
              </w:rPr>
              <w:t>R IFIC  on DVD-ROM</w:t>
            </w:r>
          </w:p>
          <w:p w:rsidR="00DB5E85" w:rsidRDefault="00505CC9" w:rsidP="00DC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Space Databases</w:t>
            </w:r>
          </w:p>
          <w:p w:rsidR="00505CC9" w:rsidRDefault="00505CC9" w:rsidP="00DC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Preface</w:t>
            </w:r>
          </w:p>
          <w:p w:rsidR="00505CC9" w:rsidRPr="00D30A6F" w:rsidRDefault="00505CC9" w:rsidP="00DC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Space Services Website</w:t>
            </w:r>
          </w:p>
          <w:p w:rsidR="00DB5E85" w:rsidRPr="00C17A61" w:rsidRDefault="00DB5E85" w:rsidP="00D30A6F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E85" w:rsidRPr="00C17A61" w:rsidRDefault="00DB5E85" w:rsidP="00556A61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0A6F" w:rsidRDefault="00505CC9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Introduction to BR Space software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Notification and recording of assignments</w:t>
            </w: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DB5E85" w:rsidRPr="00C17A61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Submission of Comments using Space Com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B5E85" w:rsidRPr="00C17A61" w:rsidRDefault="00DB5E85" w:rsidP="00556A61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B5E85" w:rsidRPr="00C17A61" w:rsidTr="00C17A61">
        <w:trPr>
          <w:cantSplit/>
          <w:trHeight w:val="570"/>
          <w:tblHeader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10.30-11.00</w:t>
            </w: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Morning Health Break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Morning Health Break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Morning Health Break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Morning Health Break</w:t>
            </w:r>
          </w:p>
        </w:tc>
      </w:tr>
      <w:tr w:rsidR="00DB5E85" w:rsidRPr="00C17A61" w:rsidTr="00C17A61">
        <w:trPr>
          <w:cantSplit/>
          <w:trHeight w:val="795"/>
          <w:tblHeader/>
          <w:jc w:val="center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11.00-12.30</w:t>
            </w: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Basics of Satellite Communications (Cont’d)</w:t>
            </w:r>
          </w:p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(ITSO)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Policy and Regulatory Guidelines for Satellite Services</w:t>
            </w:r>
          </w:p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(ITSO)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Link Budget Analysis </w:t>
            </w:r>
            <w:r w:rsidRPr="00C17A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(Intelsat)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Radio Regulations (Cont’d) </w:t>
            </w:r>
          </w:p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(ITU)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VSAT Equipment and Bandwidth Procurement</w:t>
            </w:r>
          </w:p>
          <w:p w:rsidR="00DB5E85" w:rsidRPr="00C17A61" w:rsidRDefault="00DB5E85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(ITSO)</w:t>
            </w:r>
          </w:p>
        </w:tc>
      </w:tr>
      <w:tr w:rsidR="00D30A6F" w:rsidRPr="00C17A61" w:rsidTr="00C17A61">
        <w:trPr>
          <w:cantSplit/>
          <w:trHeight w:val="2933"/>
          <w:tblHeader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30A6F" w:rsidRPr="00C17A61" w:rsidRDefault="00D30A6F" w:rsidP="00D30A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0A6F" w:rsidRPr="00C17A61" w:rsidRDefault="00D30A6F" w:rsidP="00D30A6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The Space Segment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The Ground Segment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Services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Digital Video Broadcasting,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Digital Satellite News Gathering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Broadband Internet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Multicast Internet Services</w:t>
            </w:r>
          </w:p>
          <w:p w:rsidR="00D30A6F" w:rsidRPr="00C17A61" w:rsidRDefault="00D30A6F" w:rsidP="00D30A6F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D30A6F" w:rsidRPr="00C17A61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Legal Framework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Who's in charge? Telecom Coordination among agencies in charge of spectrum, licensing, competition, etc.; Regional harmonization of regulatory frameworks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Means of monitoring and controlling the spectrum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Key regulatory and licensing trends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Market entry (satellite systems, ground segments)-  licensing types</w:t>
            </w:r>
          </w:p>
          <w:p w:rsidR="00D30A6F" w:rsidRPr="00C17A61" w:rsidRDefault="00D30A6F" w:rsidP="00D30A6F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Competition - Open access and International gateway liberalization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0A6F" w:rsidRPr="00C17A61" w:rsidRDefault="00D30A6F" w:rsidP="00D30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30A6F" w:rsidRPr="00C17A61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Earth Station Coordination  and Tools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Capture, Validation  and Submission of Earth Stations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30A6F" w:rsidRPr="00C17A61" w:rsidRDefault="00D30A6F" w:rsidP="00D30A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Defining  your needs:</w:t>
            </w:r>
          </w:p>
          <w:p w:rsidR="00D30A6F" w:rsidRPr="00C17A61" w:rsidRDefault="00D30A6F" w:rsidP="00D30A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t>Acquiring the VSAT</w:t>
            </w:r>
          </w:p>
        </w:tc>
        <w:bookmarkStart w:id="0" w:name="_GoBack"/>
        <w:bookmarkEnd w:id="0"/>
      </w:tr>
    </w:tbl>
    <w:p w:rsidR="00117A6B" w:rsidRDefault="00117A6B"/>
    <w:tbl>
      <w:tblPr>
        <w:tblW w:w="0" w:type="auto"/>
        <w:jc w:val="center"/>
        <w:tblCellMar>
          <w:left w:w="115" w:type="dxa"/>
          <w:right w:w="115" w:type="dxa"/>
        </w:tblCellMar>
        <w:tblLook w:val="04A0"/>
      </w:tblPr>
      <w:tblGrid>
        <w:gridCol w:w="855"/>
        <w:gridCol w:w="3262"/>
        <w:gridCol w:w="3420"/>
        <w:gridCol w:w="2077"/>
        <w:gridCol w:w="3053"/>
        <w:gridCol w:w="1778"/>
      </w:tblGrid>
      <w:tr w:rsidR="00C17A61" w:rsidRPr="00C17A61" w:rsidTr="00C17A61">
        <w:trPr>
          <w:cantSplit/>
          <w:trHeight w:val="270"/>
          <w:tblHeader/>
          <w:jc w:val="center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</w:tcPr>
          <w:p w:rsidR="00C17A61" w:rsidRPr="00C17A61" w:rsidRDefault="00C17A61" w:rsidP="00C17A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vAlign w:val="center"/>
          </w:tcPr>
          <w:p w:rsidR="00C17A61" w:rsidRPr="00C17A61" w:rsidRDefault="00C17A61" w:rsidP="00C17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 1 ( July 17)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00"/>
            <w:vAlign w:val="center"/>
          </w:tcPr>
          <w:p w:rsidR="00C17A61" w:rsidRPr="00C17A61" w:rsidRDefault="00C17A61" w:rsidP="00C17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 2 (July 18)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00"/>
          </w:tcPr>
          <w:p w:rsidR="00C17A61" w:rsidRPr="00C17A61" w:rsidRDefault="00C17A61" w:rsidP="00C17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 3 (July 19)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vAlign w:val="center"/>
          </w:tcPr>
          <w:p w:rsidR="00C17A61" w:rsidRPr="00C17A61" w:rsidRDefault="00C17A61" w:rsidP="00C17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 4 (July 20)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00"/>
            <w:vAlign w:val="center"/>
          </w:tcPr>
          <w:p w:rsidR="00C17A61" w:rsidRPr="00C17A61" w:rsidRDefault="00C17A61" w:rsidP="00C17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 5 ( July 21)</w:t>
            </w:r>
          </w:p>
        </w:tc>
      </w:tr>
      <w:tr w:rsidR="00117A6B" w:rsidRPr="00117A6B" w:rsidTr="00C17A61">
        <w:trPr>
          <w:cantSplit/>
          <w:trHeight w:val="638"/>
          <w:tblHeader/>
          <w:jc w:val="center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12.30-14.00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Lunch Break</w:t>
            </w:r>
          </w:p>
        </w:tc>
      </w:tr>
      <w:tr w:rsidR="00117A6B" w:rsidRPr="00117A6B" w:rsidTr="00C17A61">
        <w:trPr>
          <w:cantSplit/>
          <w:trHeight w:val="846"/>
          <w:tblHeader/>
          <w:jc w:val="center"/>
        </w:trPr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(Intelsat)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Introduction to Network Planning </w:t>
            </w:r>
          </w:p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(ITSO)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sz w:val="24"/>
                <w:szCs w:val="24"/>
              </w:rPr>
              <w:t>Satellite services &amp; Regulatory Issues:</w:t>
            </w:r>
            <w:r w:rsidRPr="00117A6B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 xml:space="preserve"> (Intelsat )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VSAT Installation and Maintenance</w:t>
            </w:r>
          </w:p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(ITSO)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17A6B" w:rsidRPr="00117A6B" w:rsidRDefault="00117A6B" w:rsidP="00556A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Wrap Up Session</w:t>
            </w:r>
          </w:p>
          <w:p w:rsidR="00117A6B" w:rsidRPr="00117A6B" w:rsidRDefault="00117A6B" w:rsidP="00556A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(ITU+ITSO+ Intelsat)</w:t>
            </w:r>
          </w:p>
        </w:tc>
      </w:tr>
      <w:tr w:rsidR="00117A6B" w:rsidRPr="00117A6B" w:rsidTr="00C17A61">
        <w:trPr>
          <w:cantSplit/>
          <w:trHeight w:val="735"/>
          <w:tblHeader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Introduction to Satellite Communications 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Satellite Network Design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Technology Trends 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Satellite Earth</w:t>
            </w:r>
            <w:r w:rsidRPr="00117A6B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</w:t>
            </w: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Station</w:t>
            </w:r>
            <w:r w:rsidRPr="00117A6B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</w:t>
            </w: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Equipment 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Digital Communications Techniques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Modulation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Satellite</w:t>
            </w:r>
            <w:r w:rsidRPr="00117A6B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</w:t>
            </w: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7A6B" w:rsidRPr="00117A6B" w:rsidRDefault="00117A6B" w:rsidP="00556A61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Satellite Network Topologies and Applications:  Star Topology, Mesh Topology  for Multimedia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Digital  Video Broadcasting,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Digital Satellite News </w:t>
            </w:r>
            <w:r w:rsidRPr="00117A6B">
              <w:rPr>
                <w:rFonts w:eastAsia="Times New Roman" w:cstheme="minorHAnsi"/>
                <w:sz w:val="24"/>
                <w:szCs w:val="24"/>
              </w:rPr>
              <w:t>Gathering</w:t>
            </w:r>
          </w:p>
          <w:p w:rsidR="00117A6B" w:rsidRPr="00117A6B" w:rsidRDefault="00117A6B" w:rsidP="00556A61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sz w:val="24"/>
                <w:szCs w:val="24"/>
              </w:rPr>
              <w:t>Broadband Internet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Site Survey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Antenna Alignment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Configuring the IDU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Satellite Dish Assembly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Satellite Pointing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Preventive Maintenance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Troubleshooting</w:t>
            </w:r>
          </w:p>
          <w:p w:rsidR="00117A6B" w:rsidRPr="00117A6B" w:rsidRDefault="00117A6B" w:rsidP="00556A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Service Level Agreement</w:t>
            </w:r>
          </w:p>
          <w:p w:rsidR="00117A6B" w:rsidRPr="00117A6B" w:rsidRDefault="00117A6B" w:rsidP="00556A61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Escalation Procedure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17A6B" w:rsidRPr="00117A6B" w:rsidRDefault="00117A6B" w:rsidP="00556A61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17A6B" w:rsidRPr="00117A6B" w:rsidTr="00C17A61">
        <w:trPr>
          <w:cantSplit/>
          <w:trHeight w:val="494"/>
          <w:tblHeader/>
          <w:jc w:val="center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0CECE"/>
            <w:vAlign w:val="center"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Aft ‘noon Health Break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Aft ‘noon Health Break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Aft ‘noon Health Break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Aft ‘noon Health Break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DBDB"/>
            <w:vAlign w:val="center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Afternoon Health Break</w:t>
            </w:r>
          </w:p>
        </w:tc>
      </w:tr>
      <w:tr w:rsidR="00117A6B" w:rsidRPr="00117A6B" w:rsidTr="00C17A61">
        <w:trPr>
          <w:cantSplit/>
          <w:trHeight w:val="315"/>
          <w:tblHeader/>
          <w:jc w:val="center"/>
        </w:trPr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15.45-16.30</w:t>
            </w:r>
          </w:p>
          <w:p w:rsidR="00117A6B" w:rsidRPr="00117A6B" w:rsidRDefault="00117A6B" w:rsidP="00556A61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117A6B" w:rsidRPr="00117A6B" w:rsidRDefault="00117A6B" w:rsidP="00556A61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117A6B" w:rsidRPr="00117A6B" w:rsidRDefault="00117A6B" w:rsidP="00556A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Radio Regulations</w:t>
            </w:r>
          </w:p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(ITU)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Introduction to Network Planning  Cont’d</w:t>
            </w:r>
          </w:p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 xml:space="preserve">(ITSO) 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WRC-Issues</w:t>
            </w:r>
          </w:p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(ITU+ Intelsat)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Practical Exercises </w:t>
            </w:r>
          </w:p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(ITU)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17A6B" w:rsidRPr="00117A6B" w:rsidRDefault="00117A6B" w:rsidP="0055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Closing Activities </w:t>
            </w:r>
          </w:p>
        </w:tc>
      </w:tr>
      <w:tr w:rsidR="00D30A6F" w:rsidRPr="00117A6B" w:rsidTr="00C17A61">
        <w:trPr>
          <w:cantSplit/>
          <w:trHeight w:val="955"/>
          <w:tblHeader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30A6F" w:rsidRPr="00117A6B" w:rsidRDefault="00D30A6F" w:rsidP="00D30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0A6F" w:rsidRPr="00117A6B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Overview</w:t>
            </w:r>
          </w:p>
          <w:p w:rsidR="00D30A6F" w:rsidRPr="00117A6B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Orbital Spectrum –International Regulatory Framework</w:t>
            </w:r>
          </w:p>
          <w:p w:rsidR="00D30A6F" w:rsidRPr="00117A6B" w:rsidRDefault="00D30A6F" w:rsidP="00D30A6F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Space FSS and BSS Plans</w:t>
            </w:r>
          </w:p>
          <w:p w:rsidR="00D30A6F" w:rsidRPr="00117A6B" w:rsidRDefault="00D30A6F" w:rsidP="00D30A6F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Non Planned Satellite Services (Coordination and Notification)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30A6F" w:rsidRPr="00117A6B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Satellite Network Topologies and Applications:  Star Topology, Mesh Topology  for Multimedia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0A6F" w:rsidRPr="00117A6B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7A6B">
              <w:rPr>
                <w:rFonts w:eastAsia="Times New Roman" w:cstheme="minorHAnsi"/>
                <w:color w:val="000000"/>
                <w:sz w:val="24"/>
                <w:szCs w:val="24"/>
              </w:rPr>
              <w:t>WRC - 19 Preparations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30A6F" w:rsidRDefault="00D30A6F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Comments API/A using SpaceCom</w:t>
            </w:r>
          </w:p>
          <w:p w:rsidR="005C2584" w:rsidRPr="00117A6B" w:rsidRDefault="005C2584" w:rsidP="00D3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Cost Recovery 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30A6F" w:rsidRPr="00117A6B" w:rsidRDefault="00D30A6F" w:rsidP="00D30A6F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117A6B" w:rsidRPr="00117A6B" w:rsidRDefault="00117A6B" w:rsidP="00117A6B">
      <w:pPr>
        <w:rPr>
          <w:rFonts w:cstheme="minorHAnsi"/>
          <w:sz w:val="24"/>
          <w:szCs w:val="24"/>
        </w:rPr>
      </w:pPr>
    </w:p>
    <w:sectPr w:rsidR="00117A6B" w:rsidRPr="00117A6B" w:rsidSect="00C17A61">
      <w:headerReference w:type="default" r:id="rId8"/>
      <w:footerReference w:type="default" r:id="rId9"/>
      <w:pgSz w:w="16834" w:h="11909" w:orient="landscape" w:code="9"/>
      <w:pgMar w:top="720" w:right="720" w:bottom="720" w:left="720" w:header="446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BC" w:rsidRDefault="00AB53BC" w:rsidP="00342729">
      <w:pPr>
        <w:spacing w:after="0" w:line="240" w:lineRule="auto"/>
      </w:pPr>
      <w:r>
        <w:separator/>
      </w:r>
    </w:p>
  </w:endnote>
  <w:endnote w:type="continuationSeparator" w:id="0">
    <w:p w:rsidR="00AB53BC" w:rsidRDefault="00AB53BC" w:rsidP="0034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2E" w:rsidRDefault="00486725" w:rsidP="00486725">
    <w:pPr>
      <w:pStyle w:val="Footer"/>
      <w:ind w:left="7920"/>
    </w:pPr>
    <w:r>
      <w:t xml:space="preserve">Page </w:t>
    </w:r>
    <w:r w:rsidR="00F641B2">
      <w:fldChar w:fldCharType="begin"/>
    </w:r>
    <w:r>
      <w:instrText xml:space="preserve"> PAGE   \* MERGEFORMAT </w:instrText>
    </w:r>
    <w:r w:rsidR="00F641B2">
      <w:fldChar w:fldCharType="separate"/>
    </w:r>
    <w:r w:rsidR="00A35400">
      <w:rPr>
        <w:noProof/>
      </w:rPr>
      <w:t>1</w:t>
    </w:r>
    <w:r w:rsidR="00F641B2">
      <w:rPr>
        <w:noProof/>
      </w:rPr>
      <w:fldChar w:fldCharType="end"/>
    </w:r>
    <w: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BC" w:rsidRDefault="00AB53BC" w:rsidP="00342729">
      <w:pPr>
        <w:spacing w:after="0" w:line="240" w:lineRule="auto"/>
      </w:pPr>
      <w:r>
        <w:separator/>
      </w:r>
    </w:p>
  </w:footnote>
  <w:footnote w:type="continuationSeparator" w:id="0">
    <w:p w:rsidR="00AB53BC" w:rsidRDefault="00AB53BC" w:rsidP="0034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3365" w:type="dxa"/>
      <w:tblInd w:w="1030" w:type="dxa"/>
      <w:tblLayout w:type="fixed"/>
      <w:tblLook w:val="04A0"/>
    </w:tblPr>
    <w:tblGrid>
      <w:gridCol w:w="2835"/>
      <w:gridCol w:w="4050"/>
      <w:gridCol w:w="3510"/>
      <w:gridCol w:w="2970"/>
    </w:tblGrid>
    <w:tr w:rsidR="00C51E69" w:rsidTr="00EF2B65">
      <w:trPr>
        <w:trHeight w:val="618"/>
      </w:trPr>
      <w:tc>
        <w:tcPr>
          <w:tcW w:w="2835" w:type="dxa"/>
          <w:vAlign w:val="bottom"/>
        </w:tcPr>
        <w:p w:rsidR="00C51E69" w:rsidRDefault="00C51E69" w:rsidP="00EF2B65">
          <w:pPr>
            <w:pStyle w:val="Header"/>
            <w:spacing w:before="100" w:beforeAutospacing="1"/>
            <w:jc w:val="center"/>
            <w:rPr>
              <w:noProof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1828800" y="291402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80491" cy="416919"/>
                <wp:effectExtent l="0" t="0" r="635" b="2540"/>
                <wp:wrapSquare wrapText="bothSides"/>
                <wp:docPr id="19" name="Image 1" descr="ITU logo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ITU logo-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491" cy="416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51E69" w:rsidRDefault="00C51E69" w:rsidP="00EF2B65">
          <w:pPr>
            <w:pStyle w:val="Header"/>
            <w:jc w:val="center"/>
            <w:rPr>
              <w:noProof/>
            </w:rPr>
          </w:pPr>
        </w:p>
      </w:tc>
      <w:tc>
        <w:tcPr>
          <w:tcW w:w="4050" w:type="dxa"/>
          <w:vAlign w:val="center"/>
        </w:tcPr>
        <w:p w:rsidR="00C51E69" w:rsidRDefault="003F16EC" w:rsidP="00EF2B65">
          <w:pPr>
            <w:pStyle w:val="Header"/>
            <w:spacing w:before="100" w:beforeAutospacing="1"/>
            <w:jc w:val="center"/>
            <w:rPr>
              <w:noProof/>
            </w:rPr>
          </w:pPr>
          <w:r w:rsidRPr="002D30E0">
            <w:rPr>
              <w:noProof/>
              <w:lang w:val="en-GB" w:eastAsia="en-GB"/>
            </w:rPr>
            <w:drawing>
              <wp:inline distT="0" distB="0" distL="0" distR="0">
                <wp:extent cx="470916" cy="418847"/>
                <wp:effectExtent l="0" t="0" r="5715" b="635"/>
                <wp:docPr id="20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916" cy="418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center"/>
        </w:tcPr>
        <w:p w:rsidR="00C51E69" w:rsidRPr="00EF2B65" w:rsidRDefault="00486725" w:rsidP="00EF2B65">
          <w:pPr>
            <w:pStyle w:val="Header"/>
            <w:spacing w:before="100" w:beforeAutospacing="1"/>
            <w:jc w:val="center"/>
            <w:rPr>
              <w:noProof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365177" cy="301584"/>
                <wp:effectExtent l="0" t="0" r="6985" b="3810"/>
                <wp:docPr id="2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177" cy="30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:rsidR="00C51E69" w:rsidRDefault="00C51E69" w:rsidP="00EF2B65">
          <w:pPr>
            <w:pStyle w:val="Header"/>
            <w:spacing w:before="100" w:beforeAutospacing="1"/>
            <w:jc w:val="center"/>
            <w:rPr>
              <w:noProof/>
            </w:rPr>
          </w:pPr>
          <w:r w:rsidRPr="00EF2B65">
            <w:rPr>
              <w:noProof/>
              <w:lang w:val="en-GB" w:eastAsia="en-GB"/>
            </w:rPr>
            <w:drawing>
              <wp:inline distT="0" distB="0" distL="0" distR="0">
                <wp:extent cx="833706" cy="322880"/>
                <wp:effectExtent l="0" t="0" r="5080" b="127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431" cy="331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2DC0" w:rsidRDefault="00902D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62E"/>
    <w:multiLevelType w:val="hybridMultilevel"/>
    <w:tmpl w:val="C462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B5367"/>
    <w:multiLevelType w:val="hybridMultilevel"/>
    <w:tmpl w:val="BA86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00DC"/>
    <w:multiLevelType w:val="hybridMultilevel"/>
    <w:tmpl w:val="BDD42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071E4"/>
    <w:multiLevelType w:val="hybridMultilevel"/>
    <w:tmpl w:val="066E1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81992"/>
    <w:multiLevelType w:val="hybridMultilevel"/>
    <w:tmpl w:val="5D1A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6367B"/>
    <w:multiLevelType w:val="hybridMultilevel"/>
    <w:tmpl w:val="B7081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7E1156B"/>
    <w:multiLevelType w:val="hybridMultilevel"/>
    <w:tmpl w:val="DA4C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E46C0"/>
    <w:multiLevelType w:val="hybridMultilevel"/>
    <w:tmpl w:val="1196E3F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41E1CCB"/>
    <w:multiLevelType w:val="hybridMultilevel"/>
    <w:tmpl w:val="AFF28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285"/>
    <w:multiLevelType w:val="hybridMultilevel"/>
    <w:tmpl w:val="C7AA8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5F75"/>
    <w:rsid w:val="00033D2E"/>
    <w:rsid w:val="000415C9"/>
    <w:rsid w:val="0005519E"/>
    <w:rsid w:val="000653A7"/>
    <w:rsid w:val="00080EA6"/>
    <w:rsid w:val="00092DC9"/>
    <w:rsid w:val="000A5D7B"/>
    <w:rsid w:val="000B2DC8"/>
    <w:rsid w:val="000D0C69"/>
    <w:rsid w:val="000E1B3A"/>
    <w:rsid w:val="000F4955"/>
    <w:rsid w:val="00113BCF"/>
    <w:rsid w:val="00117A6B"/>
    <w:rsid w:val="001840E5"/>
    <w:rsid w:val="00232E09"/>
    <w:rsid w:val="00251198"/>
    <w:rsid w:val="0029448B"/>
    <w:rsid w:val="002E251D"/>
    <w:rsid w:val="00342729"/>
    <w:rsid w:val="00374F74"/>
    <w:rsid w:val="003F0045"/>
    <w:rsid w:val="003F16EC"/>
    <w:rsid w:val="003F2772"/>
    <w:rsid w:val="003F43FB"/>
    <w:rsid w:val="00405783"/>
    <w:rsid w:val="004167C1"/>
    <w:rsid w:val="004346DB"/>
    <w:rsid w:val="00445B8C"/>
    <w:rsid w:val="00450454"/>
    <w:rsid w:val="00455464"/>
    <w:rsid w:val="00462E5F"/>
    <w:rsid w:val="00486725"/>
    <w:rsid w:val="00495D91"/>
    <w:rsid w:val="004F0FA2"/>
    <w:rsid w:val="00505CC9"/>
    <w:rsid w:val="005674B5"/>
    <w:rsid w:val="00575F4D"/>
    <w:rsid w:val="005C2584"/>
    <w:rsid w:val="005C4D2D"/>
    <w:rsid w:val="005E1328"/>
    <w:rsid w:val="00625AC6"/>
    <w:rsid w:val="006748E8"/>
    <w:rsid w:val="00677A30"/>
    <w:rsid w:val="006907AB"/>
    <w:rsid w:val="006A02DC"/>
    <w:rsid w:val="006F7A43"/>
    <w:rsid w:val="00705B98"/>
    <w:rsid w:val="0072197B"/>
    <w:rsid w:val="00766CD3"/>
    <w:rsid w:val="00775F6E"/>
    <w:rsid w:val="00781F64"/>
    <w:rsid w:val="00794CA9"/>
    <w:rsid w:val="007F1DD3"/>
    <w:rsid w:val="007F73A6"/>
    <w:rsid w:val="008040FA"/>
    <w:rsid w:val="00852BBB"/>
    <w:rsid w:val="0087073D"/>
    <w:rsid w:val="00902DC0"/>
    <w:rsid w:val="009864A1"/>
    <w:rsid w:val="009A006A"/>
    <w:rsid w:val="00A35400"/>
    <w:rsid w:val="00A4579E"/>
    <w:rsid w:val="00AA5A69"/>
    <w:rsid w:val="00AA64CE"/>
    <w:rsid w:val="00AA66A9"/>
    <w:rsid w:val="00AB53BC"/>
    <w:rsid w:val="00B535A0"/>
    <w:rsid w:val="00BC28E6"/>
    <w:rsid w:val="00C17A61"/>
    <w:rsid w:val="00C33DD3"/>
    <w:rsid w:val="00C51E69"/>
    <w:rsid w:val="00CD21E6"/>
    <w:rsid w:val="00CF1BCF"/>
    <w:rsid w:val="00D224FA"/>
    <w:rsid w:val="00D30A6F"/>
    <w:rsid w:val="00D71F96"/>
    <w:rsid w:val="00DB1A43"/>
    <w:rsid w:val="00DB4CFD"/>
    <w:rsid w:val="00DB5E85"/>
    <w:rsid w:val="00DC5F75"/>
    <w:rsid w:val="00DC733D"/>
    <w:rsid w:val="00E22372"/>
    <w:rsid w:val="00E8646D"/>
    <w:rsid w:val="00EC45E6"/>
    <w:rsid w:val="00EE5CB5"/>
    <w:rsid w:val="00EE683F"/>
    <w:rsid w:val="00EF2B65"/>
    <w:rsid w:val="00F30190"/>
    <w:rsid w:val="00F4261B"/>
    <w:rsid w:val="00F52549"/>
    <w:rsid w:val="00F641B2"/>
    <w:rsid w:val="00F9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09"/>
    <w:pPr>
      <w:ind w:left="720"/>
      <w:contextualSpacing/>
    </w:pPr>
  </w:style>
  <w:style w:type="paragraph" w:customStyle="1" w:styleId="BDTSubjectdetail">
    <w:name w:val="BDT_Subject_detail"/>
    <w:basedOn w:val="Normal"/>
    <w:uiPriority w:val="99"/>
    <w:rsid w:val="0034272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Calibri" w:eastAsia="SimSun" w:hAnsi="Calibri" w:cs="Traditional Arabic"/>
      <w:szCs w:val="3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4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29"/>
  </w:style>
  <w:style w:type="paragraph" w:styleId="Footer">
    <w:name w:val="footer"/>
    <w:basedOn w:val="Normal"/>
    <w:link w:val="FooterChar"/>
    <w:uiPriority w:val="99"/>
    <w:unhideWhenUsed/>
    <w:rsid w:val="0034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29"/>
  </w:style>
  <w:style w:type="paragraph" w:styleId="Title">
    <w:name w:val="Title"/>
    <w:basedOn w:val="Normal"/>
    <w:link w:val="TitleChar"/>
    <w:uiPriority w:val="10"/>
    <w:qFormat/>
    <w:rsid w:val="00342729"/>
    <w:pPr>
      <w:widowControl w:val="0"/>
      <w:overflowPunct w:val="0"/>
      <w:autoSpaceDE w:val="0"/>
      <w:autoSpaceDN w:val="0"/>
      <w:adjustRightInd w:val="0"/>
      <w:spacing w:before="120" w:after="0" w:line="240" w:lineRule="auto"/>
      <w:ind w:right="-1277"/>
      <w:jc w:val="center"/>
      <w:textAlignment w:val="baseline"/>
    </w:pPr>
    <w:rPr>
      <w:rFonts w:ascii="Times New Roman" w:eastAsia="Times New Roman" w:hAnsi="Times New Roman" w:cs="Times New Roman"/>
      <w:bCs/>
      <w:noProof/>
      <w:sz w:val="4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42729"/>
    <w:rPr>
      <w:rFonts w:ascii="Times New Roman" w:eastAsia="Times New Roman" w:hAnsi="Times New Roman" w:cs="Times New Roman"/>
      <w:bCs/>
      <w:noProof/>
      <w:sz w:val="40"/>
      <w:szCs w:val="20"/>
      <w:lang w:val="en-GB" w:eastAsia="en-US"/>
    </w:rPr>
  </w:style>
  <w:style w:type="character" w:customStyle="1" w:styleId="HeaderChar1">
    <w:name w:val="Header Char1"/>
    <w:uiPriority w:val="99"/>
    <w:locked/>
    <w:rsid w:val="003F43FB"/>
    <w:rPr>
      <w:rFonts w:cs="Calibri"/>
      <w:lang w:eastAsia="ar-SA"/>
    </w:rPr>
  </w:style>
  <w:style w:type="table" w:styleId="TableGrid">
    <w:name w:val="Table Grid"/>
    <w:basedOn w:val="TableNormal"/>
    <w:uiPriority w:val="39"/>
    <w:rsid w:val="0090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ADD1-C217-455A-B277-8FDCF9AD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Danial, Rania Refaat Faltas</dc:creator>
  <cp:lastModifiedBy>Jonathan Mwakijele</cp:lastModifiedBy>
  <cp:revision>2</cp:revision>
  <cp:lastPrinted>2017-07-10T08:12:00Z</cp:lastPrinted>
  <dcterms:created xsi:type="dcterms:W3CDTF">2017-07-18T17:25:00Z</dcterms:created>
  <dcterms:modified xsi:type="dcterms:W3CDTF">2017-07-18T17:25:00Z</dcterms:modified>
</cp:coreProperties>
</file>